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2018/79 vom 30. September 2014</w:t>
      </w:r>
    </w:p>
    <w:p>
      <w:r>
        <w:t>Sg Verwaltungsgericht, 2014-09-30, DE</w:t>
      </w:r>
    </w:p>
    <w:p>
      <w:r>
        <w:rPr>
          <w:b/>
        </w:rPr>
        <w:t xml:space="preserve">Quelle: </w:t>
      </w:r>
      <w:r>
        <w:t>https://mcp.opencaselaw.ch/entscheid/sg_publikationen_B 2018_79</w:t>
      </w:r>
    </w:p>
    <w:p>
      <w:r>
        <w:t>FR: SG_VERWALTUNGSGERICHT B 2018/79 du 30 septembre 2014</w:t>
      </w:r>
    </w:p>
    <w:p>
      <w:r>
        <w:t>IT: SG_VERWALTUNGSGERICHT B 2018/79 del 30 settembre 2014</w:t>
      </w:r>
    </w:p>
    <w:p>
      <w:pPr>
        <w:pStyle w:val="Heading2"/>
      </w:pPr>
      <w:r>
        <w:t>Regeste</w:t>
      </w:r>
    </w:p>
    <w:p>
      <w:r>
        <w:t>Verlegung der Kosten in den kantonalen Verfahren nach Rückweisung durch das Bundesgericht, Art. 95 Abs. 1 und 3, Art. 98 Abs. 1 und 2, Art. 98bis VRP (Verwaltungsgericht, B 2018/79).</w:t>
      </w:r>
    </w:p>
    <w:p>
      <w:pPr>
        <w:pStyle w:val="Heading2"/>
      </w:pPr>
      <w:r>
        <w:t>Erwägungen</w:t>
      </w:r>
    </w:p>
    <w:p>
      <w:r>
        <w:rPr>
          <w:b/>
        </w:rPr>
        <w:t>E. 1</w:t>
      </w:r>
    </w:p>
    <w:p>
      <w:r>
        <w:t>Praxisgemäss weist das Verwaltungsgericht die Angelegenheit an das Migrationsamt zurück, wenn nach einem bundesgerichtlichen Rückweisungsentscheid umfangreiche zusätzliche Sachverhaltsabklärungen zu treffen sind (vgl. VerwGE B 2013/115 vom 12. Juni 2013 und VerwGE B 2012/146 vom 23. August 2012 je E. 1 mit Hinweis auf Cavelti/Vögeli, Verwaltungsgerichtsbarkeit im Kanton St. Gallen, 2. Aufl. 2003, Rz. 1029 mit Hinweisen, siehe auch VerwGE B 2015/17 vom 28. April 2015 E. 2.1, VerwGE B 2014/32 vom 11. März 2014 E. 1 sowie VerwGE B 2013/205 vom 12. Februar 2014 E. 2). Dies ist vorliegend der Fall, weshalb die Angelegenheit gestützt auf Art. 64 in Verbindung mit Art. 56 Abs. 2 des Gesetzes über die Verwaltungsrechtspflege (sGS 951.1, VRP) analog (vgl. Cavelti/Vögeli, a.a.O., Rz. 1034) an das Migrationsamt zurückgewiesen wird. Dieses hat den Sachverhalt im Sinn der bundesgerichtlichen Erwägungen weiter zu ermitteln und anschliessend über die Angelegenheit neu zu befinden.</w:t>
      </w:r>
    </w:p>
    <w:p>
      <w:r>
        <w:rPr>
          <w:b/>
        </w:rPr>
        <w:t>E. 2</w:t>
      </w:r>
    </w:p>
    <w:p>
      <w:r>
        <w:t>Der Staat trägt die amtlichen Kosten der Verfahren vor den kantonalen Instanzen von insgesamt CHF 3'260. Auf die Erhebung wird verzichtet. Der im Beschwerdeverfahren geleistete Kostenvorschuss von CHF 2'000 wird den Beschwerdeführern zurückerstattet.</w:t>
      </w:r>
    </w:p>
    <w:p>
      <w:r>
        <w:rPr>
          <w:b/>
        </w:rPr>
        <w:t>E. 3</w:t>
      </w:r>
    </w:p>
    <w:p>
      <w:r>
        <w:t>Der Staat (Vorinstanz) entschädigt die Beschwerdeführer für das Beschwerde- und Rekursverfahren ausseramtlich mit CHF 3‘500 zuzüglich vier Prozent Barauslagen und 8% Mehrwertsteuer.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